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AC704E">
        <w:rPr>
          <w:sz w:val="24"/>
          <w:szCs w:val="24"/>
        </w:rPr>
        <w:t>7</w:t>
      </w:r>
      <w:r w:rsidRPr="00EC3A53">
        <w:rPr>
          <w:sz w:val="24"/>
          <w:szCs w:val="24"/>
        </w:rPr>
        <w:t>/</w:t>
      </w:r>
      <w:r w:rsidR="00730E6E">
        <w:rPr>
          <w:sz w:val="24"/>
          <w:szCs w:val="24"/>
        </w:rPr>
        <w:t>7</w:t>
      </w:r>
      <w:r w:rsidR="0061775F">
        <w:rPr>
          <w:sz w:val="24"/>
          <w:szCs w:val="24"/>
        </w:rPr>
        <w:t>9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 xml:space="preserve"> 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01 ноября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887A01" w:rsidRPr="00C0259D" w:rsidRDefault="00AC704E" w:rsidP="00A143E8">
      <w:pPr>
        <w:jc w:val="center"/>
        <w:rPr>
          <w:b/>
          <w:bCs/>
          <w:sz w:val="26"/>
          <w:szCs w:val="26"/>
        </w:rPr>
      </w:pPr>
      <w:r w:rsidRPr="00AC704E">
        <w:rPr>
          <w:b/>
          <w:sz w:val="26"/>
          <w:szCs w:val="26"/>
        </w:rPr>
        <w:t xml:space="preserve">«О результатах дополнительных </w:t>
      </w:r>
      <w:proofErr w:type="gramStart"/>
      <w:r w:rsidRPr="00AC704E">
        <w:rPr>
          <w:b/>
          <w:sz w:val="26"/>
          <w:szCs w:val="26"/>
        </w:rPr>
        <w:t>выборов депутатов Совета народных депутатов Центрального сельского поселения второго созыва</w:t>
      </w:r>
      <w:proofErr w:type="gramEnd"/>
      <w:r w:rsidRPr="00AC704E">
        <w:rPr>
          <w:b/>
          <w:sz w:val="26"/>
          <w:szCs w:val="26"/>
        </w:rPr>
        <w:t xml:space="preserve"> по одномандатному избирательному округу №</w:t>
      </w:r>
      <w:r w:rsidR="0061775F">
        <w:rPr>
          <w:b/>
          <w:sz w:val="26"/>
          <w:szCs w:val="26"/>
        </w:rPr>
        <w:t>3</w:t>
      </w:r>
      <w:r w:rsidRPr="00AC704E">
        <w:rPr>
          <w:b/>
          <w:sz w:val="26"/>
          <w:szCs w:val="26"/>
        </w:rPr>
        <w:t>»</w:t>
      </w:r>
    </w:p>
    <w:p w:rsidR="00887A01" w:rsidRPr="0037761A" w:rsidRDefault="00887A01" w:rsidP="00A143E8">
      <w:pPr>
        <w:spacing w:line="276" w:lineRule="auto"/>
        <w:ind w:firstLine="720"/>
        <w:jc w:val="center"/>
        <w:rPr>
          <w:sz w:val="16"/>
          <w:szCs w:val="16"/>
        </w:rPr>
      </w:pPr>
    </w:p>
    <w:p w:rsidR="00E61E14" w:rsidRPr="00415E00" w:rsidRDefault="00AC704E" w:rsidP="00A143E8">
      <w:pPr>
        <w:shd w:val="clear" w:color="auto" w:fill="FFFFFF"/>
        <w:ind w:firstLine="700"/>
        <w:jc w:val="both"/>
        <w:rPr>
          <w:sz w:val="24"/>
          <w:szCs w:val="24"/>
        </w:rPr>
      </w:pPr>
      <w:proofErr w:type="gramStart"/>
      <w:r w:rsidRPr="00AC704E">
        <w:rPr>
          <w:sz w:val="24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</w:t>
      </w:r>
      <w:r>
        <w:rPr>
          <w:sz w:val="24"/>
          <w:szCs w:val="24"/>
        </w:rPr>
        <w:t xml:space="preserve">вской области от 22.03.2016 г. </w:t>
      </w:r>
      <w:r w:rsidRPr="00AC704E">
        <w:rPr>
          <w:sz w:val="24"/>
          <w:szCs w:val="24"/>
        </w:rPr>
        <w:t>№150/1410-V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дополнительных выборов депутатов Совета народных депутатов Центрального сельского поселения</w:t>
      </w:r>
      <w:proofErr w:type="gramEnd"/>
      <w:r w:rsidRPr="00AC704E">
        <w:rPr>
          <w:sz w:val="24"/>
          <w:szCs w:val="24"/>
        </w:rPr>
        <w:t xml:space="preserve"> второго созыва по одномандатному избирательному округу №</w:t>
      </w:r>
      <w:r w:rsidR="0061775F">
        <w:rPr>
          <w:sz w:val="24"/>
          <w:szCs w:val="24"/>
        </w:rPr>
        <w:t>3</w:t>
      </w:r>
      <w:r w:rsidRPr="00AC704E">
        <w:rPr>
          <w:sz w:val="24"/>
          <w:szCs w:val="24"/>
        </w:rPr>
        <w:t xml:space="preserve"> после предварительной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Pr="00AC704E">
        <w:rPr>
          <w:sz w:val="24"/>
          <w:szCs w:val="24"/>
        </w:rPr>
        <w:t>территориальная</w:t>
      </w:r>
      <w:proofErr w:type="gramEnd"/>
      <w:r w:rsidRPr="00AC704E">
        <w:rPr>
          <w:sz w:val="24"/>
          <w:szCs w:val="24"/>
        </w:rPr>
        <w:t xml:space="preserve"> избирательная комиссия Новокузнецкого муниципального района с полномочиями окружных избирательной комиссии Центрального сельского поселения</w:t>
      </w:r>
    </w:p>
    <w:p w:rsidR="00E61E14" w:rsidRPr="00415E00" w:rsidRDefault="00E61E14" w:rsidP="00E61E14">
      <w:pPr>
        <w:shd w:val="clear" w:color="auto" w:fill="FFFFFF"/>
        <w:ind w:firstLine="700"/>
        <w:jc w:val="both"/>
        <w:rPr>
          <w:sz w:val="24"/>
          <w:szCs w:val="24"/>
        </w:rPr>
      </w:pPr>
      <w:r w:rsidRPr="00415E00">
        <w:rPr>
          <w:sz w:val="24"/>
          <w:szCs w:val="24"/>
        </w:rPr>
        <w:t>РЕШИЛА:</w:t>
      </w:r>
    </w:p>
    <w:p w:rsidR="00A143E8" w:rsidRPr="00415E00" w:rsidRDefault="00AC704E" w:rsidP="00AC704E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C704E">
        <w:rPr>
          <w:sz w:val="24"/>
          <w:szCs w:val="24"/>
        </w:rPr>
        <w:t xml:space="preserve">Признать дополнительные выборы </w:t>
      </w:r>
      <w:proofErr w:type="gramStart"/>
      <w:r w:rsidRPr="00AC704E"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 w:rsidRPr="00AC704E">
        <w:rPr>
          <w:sz w:val="24"/>
          <w:szCs w:val="24"/>
        </w:rPr>
        <w:t xml:space="preserve"> по одн</w:t>
      </w:r>
      <w:bookmarkStart w:id="0" w:name="_GoBack"/>
      <w:bookmarkEnd w:id="0"/>
      <w:r w:rsidRPr="00AC704E">
        <w:rPr>
          <w:sz w:val="24"/>
          <w:szCs w:val="24"/>
        </w:rPr>
        <w:t>омандатному избирательному округу №</w:t>
      </w:r>
      <w:r w:rsidR="0061775F">
        <w:rPr>
          <w:sz w:val="24"/>
          <w:szCs w:val="24"/>
        </w:rPr>
        <w:t>3</w:t>
      </w:r>
      <w:r w:rsidRPr="00AC704E">
        <w:rPr>
          <w:sz w:val="24"/>
          <w:szCs w:val="24"/>
        </w:rPr>
        <w:t xml:space="preserve"> состоявшимися и действительными.</w:t>
      </w:r>
    </w:p>
    <w:p w:rsidR="0037761A" w:rsidRPr="00024A4E" w:rsidRDefault="00AC704E" w:rsidP="00AC704E">
      <w:pPr>
        <w:pStyle w:val="a4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C704E">
        <w:rPr>
          <w:sz w:val="24"/>
          <w:szCs w:val="24"/>
        </w:rPr>
        <w:t>Утвердить протокол и сводную таблицу окружной избирательной комиссии о результатах дополнительных выборов по одномандатному избирательному округу №</w:t>
      </w:r>
      <w:r w:rsidR="0061775F">
        <w:rPr>
          <w:sz w:val="24"/>
          <w:szCs w:val="24"/>
        </w:rPr>
        <w:t>3</w:t>
      </w:r>
      <w:r w:rsidRPr="00AC704E">
        <w:rPr>
          <w:sz w:val="24"/>
          <w:szCs w:val="24"/>
        </w:rPr>
        <w:t>.</w:t>
      </w:r>
    </w:p>
    <w:p w:rsidR="00A143E8" w:rsidRPr="00415E00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024A4E">
        <w:rPr>
          <w:color w:val="000000" w:themeColor="text1"/>
          <w:sz w:val="24"/>
          <w:szCs w:val="24"/>
        </w:rPr>
        <w:t>Признать избранным депутатом Совета народных депутатов Центрального сельского поселения второго созыва по одномандатному избирательному округу №</w:t>
      </w:r>
      <w:r w:rsidR="0061775F" w:rsidRPr="00024A4E">
        <w:rPr>
          <w:color w:val="000000" w:themeColor="text1"/>
          <w:sz w:val="24"/>
          <w:szCs w:val="24"/>
        </w:rPr>
        <w:t>3</w:t>
      </w:r>
      <w:r w:rsidRPr="00024A4E">
        <w:rPr>
          <w:color w:val="000000" w:themeColor="text1"/>
          <w:sz w:val="24"/>
          <w:szCs w:val="24"/>
        </w:rPr>
        <w:t xml:space="preserve"> зарегистрированного кандидата </w:t>
      </w:r>
      <w:proofErr w:type="spellStart"/>
      <w:r w:rsidR="00024A4E" w:rsidRPr="00024A4E">
        <w:rPr>
          <w:b/>
          <w:color w:val="000000" w:themeColor="text1"/>
          <w:sz w:val="24"/>
          <w:szCs w:val="24"/>
        </w:rPr>
        <w:t>Штоль</w:t>
      </w:r>
      <w:proofErr w:type="spellEnd"/>
      <w:r w:rsidR="00024A4E" w:rsidRPr="00024A4E">
        <w:rPr>
          <w:b/>
          <w:color w:val="000000" w:themeColor="text1"/>
          <w:sz w:val="24"/>
          <w:szCs w:val="24"/>
        </w:rPr>
        <w:t xml:space="preserve"> Лилию Андреевну</w:t>
      </w:r>
      <w:r w:rsidRPr="00024A4E">
        <w:rPr>
          <w:color w:val="000000" w:themeColor="text1"/>
          <w:sz w:val="24"/>
          <w:szCs w:val="24"/>
        </w:rPr>
        <w:t xml:space="preserve">, получившую наибольшее число голосов избирателей, принявших участие в голосовании </w:t>
      </w:r>
      <w:r w:rsidRPr="00AC704E">
        <w:rPr>
          <w:sz w:val="24"/>
          <w:szCs w:val="24"/>
        </w:rPr>
        <w:t>по одномандатному избирательному округу.</w:t>
      </w:r>
    </w:p>
    <w:p w:rsidR="00415E00" w:rsidRPr="00415E00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AC704E">
        <w:rPr>
          <w:spacing w:val="-5"/>
          <w:sz w:val="24"/>
          <w:szCs w:val="24"/>
        </w:rPr>
        <w:t>Опубликовать настоящее решение в Новокузнецкой районной газете «Сельские вести».</w:t>
      </w:r>
    </w:p>
    <w:p w:rsidR="00887A01" w:rsidRPr="00415E00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4"/>
          <w:szCs w:val="24"/>
        </w:rPr>
      </w:pPr>
      <w:proofErr w:type="gramStart"/>
      <w:r w:rsidRPr="00415E00">
        <w:rPr>
          <w:spacing w:val="-5"/>
          <w:sz w:val="24"/>
          <w:szCs w:val="24"/>
        </w:rPr>
        <w:t>Разместить</w:t>
      </w:r>
      <w:proofErr w:type="gramEnd"/>
      <w:r w:rsidRPr="00415E00">
        <w:rPr>
          <w:spacing w:val="-5"/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C0259D" w:rsidTr="00504FCE">
        <w:trPr>
          <w:trHeight w:val="1260"/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О.В. Абрамова</w:t>
            </w: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FC15AF" w:rsidRPr="00C0259D" w:rsidTr="00504FCE">
        <w:trPr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24A4E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1775F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2020-11-01T16:40:00Z</cp:lastPrinted>
  <dcterms:created xsi:type="dcterms:W3CDTF">2020-11-01T16:47:00Z</dcterms:created>
  <dcterms:modified xsi:type="dcterms:W3CDTF">2020-11-01T16:47:00Z</dcterms:modified>
</cp:coreProperties>
</file>