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CF4" w:rsidRPr="00B4148E" w:rsidRDefault="00B80CF4" w:rsidP="00B80CF4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B80CF4" w:rsidRDefault="00B80CF4" w:rsidP="00B80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B80CF4" w:rsidRDefault="00B80CF4" w:rsidP="00B80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B80C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</w:t>
      </w:r>
      <w:r w:rsidR="00311C7A">
        <w:rPr>
          <w:rFonts w:ascii="Times New Roman" w:hAnsi="Times New Roman"/>
          <w:b/>
          <w:sz w:val="28"/>
          <w:szCs w:val="28"/>
          <w:u w:val="single"/>
        </w:rPr>
        <w:t>узедеевского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</w:t>
      </w:r>
      <w:r w:rsidR="00311C7A">
        <w:rPr>
          <w:rFonts w:ascii="Times New Roman" w:hAnsi="Times New Roman"/>
          <w:b/>
          <w:sz w:val="28"/>
          <w:szCs w:val="28"/>
          <w:u w:val="single"/>
        </w:rPr>
        <w:t>1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311C7A">
        <w:rPr>
          <w:rFonts w:ascii="Times New Roman" w:hAnsi="Times New Roman"/>
          <w:b/>
          <w:sz w:val="28"/>
          <w:szCs w:val="28"/>
          <w:u w:val="single"/>
        </w:rPr>
        <w:t>Кандауровой Тамары Михайловны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11C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11C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Кандаурова Тамара Михайловна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Кузедеевского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1C7A" w:rsidRPr="00BA365F" w:rsidRDefault="00311C7A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1C7A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417D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Кандауровой Тамарой Михайловной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Кандауровой Т.М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№4ОК/4</w:t>
      </w:r>
      <w:r w:rsidR="00311C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№1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Кандаурова Тамара Михайловна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извещена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DD008A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CB3E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Кандауровой Тамарой Михайловной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№ </w:t>
      </w:r>
      <w:r w:rsidR="00311C7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CB3E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узедеевского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r w:rsidR="00311C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Кандауровой Тамаре Михайловне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CB3E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Кандауровой Тамаре Михайловне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B80C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AD" w:rsidRDefault="006340AD">
      <w:pPr>
        <w:spacing w:after="0" w:line="240" w:lineRule="auto"/>
      </w:pPr>
      <w:r>
        <w:separator/>
      </w:r>
    </w:p>
  </w:endnote>
  <w:endnote w:type="continuationSeparator" w:id="0">
    <w:p w:rsidR="006340AD" w:rsidRDefault="006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AD" w:rsidRDefault="006340AD">
      <w:pPr>
        <w:spacing w:after="0" w:line="240" w:lineRule="auto"/>
      </w:pPr>
      <w:r>
        <w:separator/>
      </w:r>
    </w:p>
  </w:footnote>
  <w:footnote w:type="continuationSeparator" w:id="0">
    <w:p w:rsidR="006340AD" w:rsidRDefault="0063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7638C"/>
    <w:rsid w:val="0028492D"/>
    <w:rsid w:val="002A512F"/>
    <w:rsid w:val="002A7E9E"/>
    <w:rsid w:val="002D0F03"/>
    <w:rsid w:val="002D757C"/>
    <w:rsid w:val="00311C7A"/>
    <w:rsid w:val="00325878"/>
    <w:rsid w:val="00351EA4"/>
    <w:rsid w:val="00362A86"/>
    <w:rsid w:val="00364B79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229A1"/>
    <w:rsid w:val="00540E0C"/>
    <w:rsid w:val="00546503"/>
    <w:rsid w:val="0055008F"/>
    <w:rsid w:val="00566B22"/>
    <w:rsid w:val="005C62A1"/>
    <w:rsid w:val="005F6521"/>
    <w:rsid w:val="00606BE8"/>
    <w:rsid w:val="00622C4B"/>
    <w:rsid w:val="006340AD"/>
    <w:rsid w:val="00693891"/>
    <w:rsid w:val="006C6753"/>
    <w:rsid w:val="006F5611"/>
    <w:rsid w:val="00706A03"/>
    <w:rsid w:val="00720BF9"/>
    <w:rsid w:val="00727183"/>
    <w:rsid w:val="007A55FE"/>
    <w:rsid w:val="007C4D96"/>
    <w:rsid w:val="007E1027"/>
    <w:rsid w:val="007E30C7"/>
    <w:rsid w:val="007E6DE4"/>
    <w:rsid w:val="007E75F8"/>
    <w:rsid w:val="007F4723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4662"/>
    <w:rsid w:val="0091566D"/>
    <w:rsid w:val="009234D8"/>
    <w:rsid w:val="00931A4B"/>
    <w:rsid w:val="009807CB"/>
    <w:rsid w:val="009E4AB0"/>
    <w:rsid w:val="00A9014A"/>
    <w:rsid w:val="00A9163D"/>
    <w:rsid w:val="00A93B77"/>
    <w:rsid w:val="00A94A82"/>
    <w:rsid w:val="00AC3D2E"/>
    <w:rsid w:val="00AC7832"/>
    <w:rsid w:val="00AD33D2"/>
    <w:rsid w:val="00AF4060"/>
    <w:rsid w:val="00B06DC0"/>
    <w:rsid w:val="00B56BDD"/>
    <w:rsid w:val="00B64066"/>
    <w:rsid w:val="00B66F38"/>
    <w:rsid w:val="00B77FEC"/>
    <w:rsid w:val="00B80CF4"/>
    <w:rsid w:val="00B96F99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7312B"/>
    <w:rsid w:val="00C8250A"/>
    <w:rsid w:val="00C830F5"/>
    <w:rsid w:val="00CA234F"/>
    <w:rsid w:val="00CA6A24"/>
    <w:rsid w:val="00CB3EF6"/>
    <w:rsid w:val="00CB7C68"/>
    <w:rsid w:val="00CD769B"/>
    <w:rsid w:val="00CF43C7"/>
    <w:rsid w:val="00D073AE"/>
    <w:rsid w:val="00D158EB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43E25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E33D-42C3-4F7E-8AC8-583475A7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2018-07-31T05:15:00Z</cp:lastPrinted>
  <dcterms:created xsi:type="dcterms:W3CDTF">2019-08-02T03:50:00Z</dcterms:created>
  <dcterms:modified xsi:type="dcterms:W3CDTF">2019-08-02T04:08:00Z</dcterms:modified>
</cp:coreProperties>
</file>